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3B0BBDA7" w14:textId="7FE69B99"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D055C8">
        <w:rPr>
          <w:rFonts w:ascii="Times New Roman" w:hAnsi="Times New Roman"/>
          <w:bCs/>
          <w:sz w:val="24"/>
          <w:szCs w:val="24"/>
        </w:rPr>
        <w:t>Preparation of the M</w:t>
      </w:r>
      <w:r w:rsidR="00D055C8" w:rsidRPr="00D055C8">
        <w:rPr>
          <w:rFonts w:ascii="Times New Roman" w:hAnsi="Times New Roman"/>
          <w:bCs/>
          <w:sz w:val="24"/>
          <w:szCs w:val="24"/>
        </w:rPr>
        <w:t>ain project design and Supervision of the construction works of the Montenegro Paying Agency (PA) Regional office in Pljevlja</w:t>
      </w:r>
      <w:r w:rsidR="00117043" w:rsidRPr="00117043">
        <w:rPr>
          <w:rFonts w:ascii="Times New Roman" w:hAnsi="Times New Roman"/>
          <w:bCs/>
          <w:sz w:val="24"/>
          <w:szCs w:val="24"/>
        </w:rPr>
        <w:t xml:space="preserve"> </w:t>
      </w: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D055C8">
        <w:rPr>
          <w:rFonts w:ascii="Times New Roman" w:hAnsi="Times New Roman"/>
          <w:spacing w:val="-2"/>
          <w:sz w:val="24"/>
          <w:szCs w:val="24"/>
        </w:rPr>
        <w:t>23</w:t>
      </w:r>
      <w:r w:rsidR="00E6395A" w:rsidRPr="00134CCE">
        <w:rPr>
          <w:rFonts w:ascii="Times New Roman" w:hAnsi="Times New Roman"/>
          <w:spacing w:val="-2"/>
          <w:sz w:val="24"/>
          <w:szCs w:val="24"/>
        </w:rPr>
        <w:t>-</w:t>
      </w:r>
      <w:r w:rsidR="00D055C8">
        <w:rPr>
          <w:rFonts w:ascii="Times New Roman" w:hAnsi="Times New Roman"/>
          <w:spacing w:val="-2"/>
          <w:sz w:val="24"/>
          <w:szCs w:val="24"/>
        </w:rPr>
        <w:t>1.2.2.1.4</w:t>
      </w:r>
      <w:r w:rsidR="00117043">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5D50C06F"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 xml:space="preserve">for </w:t>
      </w:r>
      <w:r w:rsidR="00D055C8" w:rsidRPr="00D055C8">
        <w:rPr>
          <w:rFonts w:ascii="Times New Roman" w:hAnsi="Times New Roman"/>
          <w:bCs/>
          <w:sz w:val="24"/>
          <w:szCs w:val="24"/>
        </w:rPr>
        <w:t>Preparation of the Main project design and Supervision of the construction works of the Montenegro Paying Agency (PA) Regional office in Pljevlja</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r w:rsidR="00117043">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691841DE" w14:textId="77777777" w:rsidR="00D055C8" w:rsidRPr="00D055C8" w:rsidRDefault="009830E4" w:rsidP="00D055C8">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D055C8" w:rsidRPr="00D055C8">
        <w:rPr>
          <w:rFonts w:ascii="Times New Roman" w:hAnsi="Times New Roman"/>
          <w:spacing w:val="-2"/>
          <w:sz w:val="24"/>
          <w:szCs w:val="24"/>
        </w:rPr>
        <w:t xml:space="preserve">perform technical design with all necessary substrates (topography survey, Elaboration of subdivision according to DUP, geological survey etc.) in accordance with national technical codes and legislation, namely prepare all technical documentation in the needed scope according to local technical codes and legal requirements for execution of civil engineering works, including full technical specification, bill of quantities and cost estimate. </w:t>
      </w:r>
    </w:p>
    <w:p w14:paraId="62A3D7CF" w14:textId="77777777" w:rsidR="00D055C8" w:rsidRPr="00D055C8" w:rsidRDefault="00D055C8" w:rsidP="00D055C8">
      <w:pPr>
        <w:suppressAutoHyphens/>
        <w:jc w:val="both"/>
        <w:rPr>
          <w:rFonts w:ascii="Times New Roman" w:hAnsi="Times New Roman"/>
          <w:spacing w:val="-2"/>
          <w:sz w:val="24"/>
          <w:szCs w:val="24"/>
        </w:rPr>
      </w:pPr>
    </w:p>
    <w:p w14:paraId="429B0B32" w14:textId="77777777" w:rsidR="00D055C8" w:rsidRPr="00D055C8" w:rsidRDefault="00D055C8" w:rsidP="00D055C8">
      <w:pPr>
        <w:suppressAutoHyphens/>
        <w:jc w:val="both"/>
        <w:rPr>
          <w:rFonts w:ascii="Times New Roman" w:hAnsi="Times New Roman"/>
          <w:spacing w:val="-2"/>
          <w:sz w:val="24"/>
          <w:szCs w:val="24"/>
        </w:rPr>
      </w:pPr>
      <w:r w:rsidRPr="00D055C8">
        <w:rPr>
          <w:rFonts w:ascii="Times New Roman" w:hAnsi="Times New Roman"/>
          <w:spacing w:val="-2"/>
          <w:sz w:val="24"/>
          <w:szCs w:val="24"/>
        </w:rPr>
        <w:t>Additionally, the Consultant will assist the Client during bidding process, with evaluation of technical part of bids.</w:t>
      </w:r>
    </w:p>
    <w:p w14:paraId="510965B0" w14:textId="77777777" w:rsidR="00D055C8" w:rsidRPr="00D055C8" w:rsidRDefault="00D055C8" w:rsidP="00D055C8">
      <w:pPr>
        <w:suppressAutoHyphens/>
        <w:jc w:val="both"/>
        <w:rPr>
          <w:rFonts w:ascii="Times New Roman" w:hAnsi="Times New Roman"/>
          <w:spacing w:val="-2"/>
          <w:sz w:val="24"/>
          <w:szCs w:val="24"/>
        </w:rPr>
      </w:pPr>
    </w:p>
    <w:p w14:paraId="708EF9AF" w14:textId="77777777" w:rsidR="00D055C8" w:rsidRPr="00D055C8" w:rsidRDefault="00D055C8" w:rsidP="00D055C8">
      <w:pPr>
        <w:suppressAutoHyphens/>
        <w:jc w:val="both"/>
        <w:rPr>
          <w:rFonts w:ascii="Times New Roman" w:hAnsi="Times New Roman"/>
          <w:spacing w:val="-2"/>
          <w:sz w:val="24"/>
          <w:szCs w:val="24"/>
        </w:rPr>
      </w:pPr>
      <w:r w:rsidRPr="00D055C8">
        <w:rPr>
          <w:rFonts w:ascii="Times New Roman" w:hAnsi="Times New Roman"/>
          <w:spacing w:val="-2"/>
          <w:sz w:val="24"/>
          <w:szCs w:val="24"/>
        </w:rPr>
        <w:t>The Consultant will be responsible for the supervision of all works on the project of construction of the building on DfP regional offices in Pljevlja premises during the subsequent execution of works.</w:t>
      </w:r>
    </w:p>
    <w:p w14:paraId="380DAC3B" w14:textId="77777777" w:rsidR="00D055C8" w:rsidRPr="00D055C8" w:rsidRDefault="00D055C8" w:rsidP="00D055C8">
      <w:pPr>
        <w:suppressAutoHyphens/>
        <w:jc w:val="both"/>
        <w:rPr>
          <w:rFonts w:ascii="Times New Roman" w:hAnsi="Times New Roman"/>
          <w:spacing w:val="-2"/>
          <w:sz w:val="24"/>
          <w:szCs w:val="24"/>
        </w:rPr>
      </w:pPr>
    </w:p>
    <w:p w14:paraId="3CD74073" w14:textId="16BD81B6" w:rsidR="00117043" w:rsidRDefault="00D055C8" w:rsidP="00D055C8">
      <w:pPr>
        <w:suppressAutoHyphens/>
        <w:jc w:val="both"/>
        <w:rPr>
          <w:rFonts w:ascii="Times New Roman" w:hAnsi="Times New Roman"/>
          <w:spacing w:val="-2"/>
          <w:sz w:val="24"/>
          <w:szCs w:val="24"/>
        </w:rPr>
      </w:pPr>
      <w:r w:rsidRPr="00D055C8">
        <w:rPr>
          <w:rFonts w:ascii="Times New Roman" w:hAnsi="Times New Roman"/>
          <w:spacing w:val="-2"/>
          <w:sz w:val="24"/>
          <w:szCs w:val="24"/>
        </w:rPr>
        <w:t>The assignment will be executed in two (2) tasks whereby the Task 1 will be compensated on the basis of the Lump-Sum contract provisions and Task 2 on the basis of the Time-Based contract provisions.</w:t>
      </w:r>
    </w:p>
    <w:p w14:paraId="7F25E07B" w14:textId="77777777" w:rsidR="00D055C8" w:rsidRDefault="00D055C8" w:rsidP="00D055C8">
      <w:pPr>
        <w:suppressAutoHyphens/>
        <w:jc w:val="both"/>
        <w:rPr>
          <w:rFonts w:ascii="Times New Roman" w:hAnsi="Times New Roman"/>
          <w:spacing w:val="-2"/>
          <w:sz w:val="24"/>
          <w:lang w:val="en-GB"/>
        </w:rPr>
      </w:pPr>
    </w:p>
    <w:p w14:paraId="2469DD4E" w14:textId="0F679372" w:rsidR="001C3893" w:rsidRPr="00D12616" w:rsidRDefault="00825B5C" w:rsidP="0052661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lastRenderedPageBreak/>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Pr="003C286B" w:rsidRDefault="003C286B" w:rsidP="003C286B">
      <w:pPr>
        <w:suppressAutoHyphens/>
        <w:jc w:val="both"/>
        <w:rPr>
          <w:rFonts w:ascii="Times New Roman" w:hAnsi="Times New Roman"/>
          <w:b/>
          <w:spacing w:val="-2"/>
          <w:sz w:val="24"/>
          <w:lang w:val="en-GB"/>
        </w:rPr>
      </w:pPr>
    </w:p>
    <w:p w14:paraId="19117D69" w14:textId="1C1F867D"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t xml:space="preserve">The </w:t>
      </w:r>
      <w:r>
        <w:rPr>
          <w:rFonts w:ascii="Times New Roman" w:hAnsi="Times New Roman"/>
          <w:b/>
          <w:spacing w:val="-2"/>
          <w:sz w:val="24"/>
          <w:lang w:val="en-GB"/>
        </w:rPr>
        <w:t>shotlisting</w:t>
      </w:r>
      <w:r w:rsidRPr="003C286B">
        <w:rPr>
          <w:rFonts w:ascii="Times New Roman" w:hAnsi="Times New Roman"/>
          <w:b/>
          <w:spacing w:val="-2"/>
          <w:sz w:val="24"/>
          <w:lang w:val="en-GB"/>
        </w:rPr>
        <w:t xml:space="preserve"> criteria for a company are:</w:t>
      </w:r>
    </w:p>
    <w:tbl>
      <w:tblPr>
        <w:tblW w:w="862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88"/>
        <w:gridCol w:w="1535"/>
      </w:tblGrid>
      <w:tr w:rsidR="00D055C8" w:rsidRPr="00D055C8" w14:paraId="58449AFE" w14:textId="77777777" w:rsidTr="00D055C8">
        <w:trPr>
          <w:trHeight w:val="318"/>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4D4F5" w14:textId="77777777" w:rsidR="00D055C8" w:rsidRPr="00D055C8" w:rsidRDefault="00D055C8" w:rsidP="00F54461">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D055C8">
              <w:rPr>
                <w:rFonts w:ascii="Times New Roman" w:eastAsia="Calibri" w:hAnsi="Times New Roman"/>
                <w:color w:val="000000"/>
                <w:sz w:val="24"/>
                <w:szCs w:val="24"/>
                <w:u w:color="000000"/>
                <w:bdr w:val="nil"/>
              </w:rPr>
              <w:t>Criteria</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A90E0" w14:textId="77777777" w:rsidR="00D055C8" w:rsidRPr="00D055C8" w:rsidRDefault="00D055C8" w:rsidP="00D055C8">
            <w:pPr>
              <w:pBdr>
                <w:top w:val="nil"/>
                <w:left w:val="nil"/>
                <w:bottom w:val="nil"/>
                <w:right w:val="nil"/>
                <w:between w:val="nil"/>
                <w:bar w:val="nil"/>
              </w:pBdr>
              <w:jc w:val="center"/>
              <w:rPr>
                <w:rFonts w:ascii="Times New Roman" w:eastAsia="Arial Unicode MS" w:hAnsi="Times New Roman"/>
                <w:color w:val="000000"/>
                <w:sz w:val="24"/>
                <w:szCs w:val="24"/>
                <w:u w:color="000000"/>
                <w:bdr w:val="nil"/>
              </w:rPr>
            </w:pPr>
            <w:r w:rsidRPr="00D055C8">
              <w:rPr>
                <w:rFonts w:ascii="Times New Roman" w:eastAsia="Calibri" w:hAnsi="Times New Roman"/>
                <w:color w:val="000000"/>
                <w:sz w:val="24"/>
                <w:szCs w:val="24"/>
                <w:u w:color="000000"/>
                <w:bdr w:val="nil"/>
              </w:rPr>
              <w:t>Points</w:t>
            </w:r>
          </w:p>
        </w:tc>
      </w:tr>
      <w:tr w:rsidR="00D055C8" w:rsidRPr="00D055C8" w14:paraId="5FFA86EE" w14:textId="77777777" w:rsidTr="00D055C8">
        <w:trPr>
          <w:trHeight w:val="761"/>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AF643" w14:textId="77777777" w:rsidR="00D055C8" w:rsidRPr="00D055C8" w:rsidRDefault="00D055C8" w:rsidP="00F54461">
            <w:pPr>
              <w:pBdr>
                <w:top w:val="nil"/>
                <w:left w:val="nil"/>
                <w:bottom w:val="nil"/>
                <w:right w:val="nil"/>
                <w:between w:val="nil"/>
                <w:bar w:val="nil"/>
              </w:pBdr>
              <w:rPr>
                <w:rFonts w:ascii="Times New Roman" w:eastAsia="Calibri" w:hAnsi="Times New Roman"/>
                <w:color w:val="000000"/>
                <w:sz w:val="24"/>
                <w:szCs w:val="24"/>
                <w:u w:color="000000"/>
                <w:bdr w:val="nil"/>
              </w:rPr>
            </w:pPr>
            <w:r w:rsidRPr="00D055C8">
              <w:rPr>
                <w:rFonts w:ascii="Times New Roman" w:eastAsia="Calibri" w:hAnsi="Times New Roman"/>
                <w:color w:val="000000"/>
                <w:sz w:val="24"/>
                <w:szCs w:val="24"/>
                <w:u w:color="000000"/>
                <w:bdr w:val="nil"/>
              </w:rPr>
              <w:t>Consultant must have License for designer and construction - craft works,</w:t>
            </w:r>
          </w:p>
          <w:p w14:paraId="68C64912" w14:textId="77777777" w:rsidR="00D055C8" w:rsidRPr="00D055C8" w:rsidRDefault="00D055C8" w:rsidP="00F54461">
            <w:pPr>
              <w:pBdr>
                <w:top w:val="nil"/>
                <w:left w:val="nil"/>
                <w:bottom w:val="nil"/>
                <w:right w:val="nil"/>
                <w:between w:val="nil"/>
                <w:bar w:val="nil"/>
              </w:pBdr>
              <w:rPr>
                <w:rFonts w:ascii="Times New Roman" w:eastAsia="Calibri" w:hAnsi="Times New Roman"/>
                <w:color w:val="000000"/>
                <w:sz w:val="24"/>
                <w:szCs w:val="24"/>
                <w:u w:color="000000"/>
                <w:bdr w:val="nil"/>
              </w:rPr>
            </w:pPr>
            <w:r w:rsidRPr="00D055C8">
              <w:rPr>
                <w:rFonts w:ascii="Times New Roman" w:eastAsia="Calibri" w:hAnsi="Times New Roman"/>
                <w:color w:val="000000"/>
                <w:sz w:val="24"/>
                <w:szCs w:val="24"/>
                <w:u w:color="000000"/>
                <w:bdr w:val="nil"/>
              </w:rPr>
              <w:t xml:space="preserve">Company must have </w:t>
            </w:r>
            <w:r w:rsidRPr="00D055C8">
              <w:rPr>
                <w:rFonts w:ascii="Times New Roman" w:eastAsia="Arial Unicode MS" w:hAnsi="Times New Roman"/>
                <w:color w:val="353535"/>
                <w:sz w:val="24"/>
                <w:szCs w:val="24"/>
                <w:u w:color="000000"/>
                <w:bdr w:val="nil"/>
              </w:rPr>
              <w:t>License as Responsible reviewer and engineering supervision, and all engineer capacities described above.</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E247D" w14:textId="77777777" w:rsidR="00D055C8" w:rsidRPr="00D055C8" w:rsidRDefault="00D055C8" w:rsidP="00F54461">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D055C8">
              <w:rPr>
                <w:rFonts w:ascii="Times New Roman" w:eastAsia="Calibri" w:hAnsi="Times New Roman"/>
                <w:color w:val="000000"/>
                <w:sz w:val="24"/>
                <w:szCs w:val="24"/>
                <w:u w:color="000000"/>
                <w:bdr w:val="nil"/>
              </w:rPr>
              <w:t>Mandatory</w:t>
            </w:r>
          </w:p>
        </w:tc>
      </w:tr>
      <w:tr w:rsidR="00D055C8" w:rsidRPr="00D055C8" w14:paraId="23850CFC" w14:textId="77777777" w:rsidTr="00D055C8">
        <w:trPr>
          <w:trHeight w:val="705"/>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74928" w14:textId="77777777" w:rsidR="00D055C8" w:rsidRPr="00D055C8" w:rsidRDefault="00D055C8" w:rsidP="00F54461">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D055C8">
              <w:rPr>
                <w:rFonts w:ascii="Times New Roman" w:eastAsia="Calibri" w:hAnsi="Times New Roman"/>
                <w:color w:val="000000"/>
                <w:sz w:val="24"/>
                <w:szCs w:val="24"/>
                <w:u w:color="000000"/>
                <w:bdr w:val="nil"/>
              </w:rPr>
              <w:t xml:space="preserve">Consultant company should have at least 5 years of experience in the similar assignments and minimum 2 assignments; the Consultant should provide clear overview of conducted similar projects in preparation of technical design/technical documentation in the past 5 years. Overview must include: detail data on investor’s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5E3E32" w14:textId="77777777" w:rsidR="00D055C8" w:rsidRPr="00D055C8" w:rsidRDefault="00D055C8" w:rsidP="00F54461">
            <w:pPr>
              <w:pBdr>
                <w:top w:val="nil"/>
                <w:left w:val="nil"/>
                <w:bottom w:val="nil"/>
                <w:right w:val="nil"/>
                <w:between w:val="nil"/>
                <w:bar w:val="nil"/>
              </w:pBdr>
              <w:jc w:val="center"/>
              <w:rPr>
                <w:rFonts w:ascii="Times New Roman" w:eastAsia="Arial Unicode MS" w:hAnsi="Times New Roman"/>
                <w:color w:val="000000"/>
                <w:sz w:val="24"/>
                <w:szCs w:val="24"/>
                <w:u w:color="000000"/>
                <w:bdr w:val="nil"/>
              </w:rPr>
            </w:pPr>
            <w:r w:rsidRPr="00D055C8">
              <w:rPr>
                <w:rFonts w:ascii="Times New Roman" w:eastAsia="Calibri" w:hAnsi="Times New Roman"/>
                <w:color w:val="000000"/>
                <w:sz w:val="24"/>
                <w:szCs w:val="24"/>
                <w:u w:color="000000"/>
                <w:bdr w:val="nil"/>
              </w:rPr>
              <w:t>50</w:t>
            </w:r>
          </w:p>
        </w:tc>
      </w:tr>
      <w:tr w:rsidR="00D055C8" w:rsidRPr="00D055C8" w14:paraId="57CBC501" w14:textId="77777777" w:rsidTr="00D055C8">
        <w:trPr>
          <w:trHeight w:val="3342"/>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FED19" w14:textId="77777777" w:rsidR="00D055C8" w:rsidRPr="00D055C8" w:rsidRDefault="00D055C8" w:rsidP="00F54461">
            <w:pPr>
              <w:pBdr>
                <w:top w:val="nil"/>
                <w:left w:val="nil"/>
                <w:bottom w:val="nil"/>
                <w:right w:val="nil"/>
                <w:between w:val="nil"/>
                <w:bar w:val="nil"/>
              </w:pBdr>
              <w:rPr>
                <w:rFonts w:ascii="Times New Roman" w:eastAsia="Calibri" w:hAnsi="Times New Roman"/>
                <w:color w:val="000000"/>
                <w:sz w:val="24"/>
                <w:szCs w:val="24"/>
                <w:u w:color="000000"/>
                <w:bdr w:val="nil"/>
              </w:rPr>
            </w:pPr>
            <w:r w:rsidRPr="00D055C8">
              <w:rPr>
                <w:rFonts w:ascii="Times New Roman" w:eastAsia="Calibri" w:hAnsi="Times New Roman"/>
                <w:color w:val="000000"/>
                <w:sz w:val="24"/>
                <w:szCs w:val="24"/>
                <w:u w:color="000000"/>
                <w:bdr w:val="nil"/>
              </w:rPr>
              <w:t>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and Engineer for energy efficiency measures.</w:t>
            </w:r>
          </w:p>
          <w:p w14:paraId="0F47B1D9" w14:textId="77777777" w:rsidR="00D055C8" w:rsidRPr="00D055C8" w:rsidRDefault="00D055C8" w:rsidP="00F54461">
            <w:pPr>
              <w:pBdr>
                <w:top w:val="nil"/>
                <w:left w:val="nil"/>
                <w:bottom w:val="nil"/>
                <w:right w:val="nil"/>
                <w:between w:val="nil"/>
                <w:bar w:val="nil"/>
              </w:pBdr>
              <w:rPr>
                <w:rFonts w:ascii="Times New Roman" w:eastAsia="Calibri" w:hAnsi="Times New Roman"/>
                <w:color w:val="000000"/>
                <w:sz w:val="24"/>
                <w:szCs w:val="24"/>
                <w:u w:color="000000"/>
                <w:bdr w:val="nil"/>
              </w:rPr>
            </w:pPr>
          </w:p>
          <w:p w14:paraId="4C7E9C89" w14:textId="7A2DCCA4" w:rsidR="00D055C8" w:rsidRPr="00D055C8" w:rsidRDefault="00D055C8" w:rsidP="00F54461">
            <w:pPr>
              <w:pBdr>
                <w:top w:val="nil"/>
                <w:left w:val="nil"/>
                <w:bottom w:val="nil"/>
                <w:right w:val="nil"/>
                <w:between w:val="nil"/>
                <w:bar w:val="nil"/>
              </w:pBdr>
              <w:rPr>
                <w:rFonts w:ascii="Times New Roman" w:eastAsia="Calibri" w:hAnsi="Times New Roman"/>
                <w:color w:val="000000"/>
                <w:sz w:val="24"/>
                <w:szCs w:val="24"/>
                <w:u w:color="000000"/>
                <w:bdr w:val="nil"/>
              </w:rPr>
            </w:pPr>
            <w:r w:rsidRPr="00D055C8">
              <w:rPr>
                <w:rFonts w:ascii="Times New Roman" w:eastAsia="Calibri" w:hAnsi="Times New Roman"/>
                <w:color w:val="000000"/>
                <w:sz w:val="24"/>
                <w:szCs w:val="24"/>
                <w:u w:color="000000"/>
                <w:bdr w:val="nil"/>
              </w:rPr>
              <w:t xml:space="preserve">All engineers must have necessary license/authorizations issued by responsible authorities in accordance with national legislation) and resources to carry out the required work for the required period of time; All with necessary licenses described in </w:t>
            </w:r>
            <w:r w:rsidRPr="00D055C8">
              <w:rPr>
                <w:rFonts w:ascii="Times New Roman" w:eastAsia="Calibri" w:hAnsi="Times New Roman"/>
                <w:sz w:val="24"/>
                <w:szCs w:val="24"/>
                <w:u w:color="000000"/>
                <w:bdr w:val="nil"/>
              </w:rPr>
              <w:t xml:space="preserve">the </w:t>
            </w:r>
            <w:r w:rsidRPr="00D055C8">
              <w:rPr>
                <w:rFonts w:ascii="Times New Roman" w:eastAsia="Calibri" w:hAnsi="Times New Roman"/>
                <w:color w:val="000000"/>
                <w:sz w:val="24"/>
                <w:szCs w:val="24"/>
                <w:u w:color="000000"/>
                <w:bdr w:val="nil"/>
              </w:rPr>
              <w:t>ToR.</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81148" w14:textId="77777777" w:rsidR="00D055C8" w:rsidRPr="00D055C8" w:rsidRDefault="00D055C8" w:rsidP="00F54461">
            <w:pPr>
              <w:pBdr>
                <w:top w:val="nil"/>
                <w:left w:val="nil"/>
                <w:bottom w:val="nil"/>
                <w:right w:val="nil"/>
                <w:between w:val="nil"/>
                <w:bar w:val="nil"/>
              </w:pBdr>
              <w:jc w:val="center"/>
              <w:rPr>
                <w:rFonts w:ascii="Times New Roman" w:eastAsia="Arial Unicode MS" w:hAnsi="Times New Roman"/>
                <w:color w:val="000000"/>
                <w:sz w:val="24"/>
                <w:szCs w:val="24"/>
                <w:u w:color="000000"/>
                <w:bdr w:val="nil"/>
              </w:rPr>
            </w:pPr>
            <w:r w:rsidRPr="00D055C8">
              <w:rPr>
                <w:rFonts w:ascii="Times New Roman" w:eastAsia="Calibri" w:hAnsi="Times New Roman"/>
                <w:color w:val="000000"/>
                <w:sz w:val="24"/>
                <w:szCs w:val="24"/>
                <w:u w:color="000000"/>
                <w:bdr w:val="nil"/>
              </w:rPr>
              <w:t>30</w:t>
            </w:r>
          </w:p>
        </w:tc>
      </w:tr>
      <w:tr w:rsidR="00D055C8" w:rsidRPr="00D055C8" w14:paraId="6EEA6823" w14:textId="77777777" w:rsidTr="00D055C8">
        <w:trPr>
          <w:trHeight w:val="54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1AD00" w14:textId="77777777" w:rsidR="00D055C8" w:rsidRPr="00D055C8" w:rsidRDefault="00D055C8" w:rsidP="00F54461">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D055C8">
              <w:rPr>
                <w:rFonts w:ascii="Times New Roman" w:eastAsia="Calibri" w:hAnsi="Times New Roman"/>
                <w:color w:val="000000" w:themeColor="text1"/>
                <w:sz w:val="24"/>
                <w:szCs w:val="24"/>
                <w:u w:color="000000"/>
                <w:bdr w:val="nil"/>
              </w:rPr>
              <w:t>Consultant company should have experience in construction/refurbishment works with ISO 27001 or 27002 standards.</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6B995" w14:textId="77777777" w:rsidR="00D055C8" w:rsidRPr="00D055C8" w:rsidRDefault="00D055C8" w:rsidP="00F54461">
            <w:pPr>
              <w:pBdr>
                <w:top w:val="nil"/>
                <w:left w:val="nil"/>
                <w:bottom w:val="nil"/>
                <w:right w:val="nil"/>
                <w:between w:val="nil"/>
                <w:bar w:val="nil"/>
              </w:pBdr>
              <w:jc w:val="center"/>
              <w:rPr>
                <w:rFonts w:ascii="Times New Roman" w:eastAsia="Arial Unicode MS" w:hAnsi="Times New Roman"/>
                <w:sz w:val="24"/>
                <w:szCs w:val="24"/>
                <w:u w:color="000000"/>
                <w:bdr w:val="nil"/>
              </w:rPr>
            </w:pPr>
            <w:r w:rsidRPr="00D055C8">
              <w:rPr>
                <w:rFonts w:ascii="Times New Roman" w:eastAsia="Calibri" w:hAnsi="Times New Roman"/>
                <w:color w:val="000000"/>
                <w:sz w:val="24"/>
                <w:szCs w:val="24"/>
                <w:u w:color="000000"/>
                <w:bdr w:val="nil"/>
              </w:rPr>
              <w:t>20</w:t>
            </w:r>
          </w:p>
        </w:tc>
      </w:tr>
    </w:tbl>
    <w:p w14:paraId="648052AC" w14:textId="77777777" w:rsidR="00ED7815" w:rsidRDefault="00ED7815" w:rsidP="00875353">
      <w:pPr>
        <w:suppressAutoHyphens/>
        <w:jc w:val="both"/>
        <w:rPr>
          <w:rFonts w:ascii="Times New Roman" w:hAnsi="Times New Roman"/>
          <w:spacing w:val="-2"/>
          <w:sz w:val="24"/>
        </w:rPr>
      </w:pPr>
    </w:p>
    <w:p w14:paraId="436A33C6" w14:textId="77777777" w:rsidR="00DF4E70" w:rsidRDefault="00DF4E70" w:rsidP="00117043">
      <w:pPr>
        <w:jc w:val="both"/>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117043">
      <w:pPr>
        <w:jc w:val="both"/>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lastRenderedPageBreak/>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2BDAAFCC"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D055C8">
        <w:rPr>
          <w:rFonts w:ascii="Times New Roman" w:hAnsi="Times New Roman"/>
          <w:spacing w:val="-2"/>
          <w:sz w:val="24"/>
        </w:rPr>
        <w:t xml:space="preserve"> (CQ)</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1E0A4875"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D055C8">
        <w:rPr>
          <w:rFonts w:ascii="Times New Roman" w:hAnsi="Times New Roman"/>
          <w:b/>
          <w:spacing w:val="-2"/>
          <w:sz w:val="24"/>
        </w:rPr>
        <w:t xml:space="preserve">March </w:t>
      </w:r>
      <w:r w:rsidR="00A36DC8">
        <w:rPr>
          <w:rFonts w:ascii="Times New Roman" w:hAnsi="Times New Roman"/>
          <w:b/>
          <w:spacing w:val="-2"/>
          <w:sz w:val="24"/>
        </w:rPr>
        <w:t>7</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D055C8">
        <w:rPr>
          <w:rFonts w:ascii="Times New Roman" w:hAnsi="Times New Roman"/>
          <w:b/>
          <w:spacing w:val="-2"/>
          <w:sz w:val="24"/>
        </w:rPr>
        <w:t>3</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F1452">
        <w:rPr>
          <w:rFonts w:ascii="Times New Roman" w:hAnsi="Times New Roman"/>
          <w:b/>
          <w:spacing w:val="-2"/>
          <w:sz w:val="24"/>
        </w:rPr>
        <w:t>12</w:t>
      </w:r>
      <w:r w:rsidR="002C7721" w:rsidRPr="001A057E">
        <w:rPr>
          <w:rFonts w:ascii="Times New Roman" w:hAnsi="Times New Roman"/>
          <w:b/>
          <w:spacing w:val="-2"/>
          <w:sz w:val="24"/>
        </w:rPr>
        <w:t>,00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48D274E4" w:rsidR="00E6395A" w:rsidRPr="00E6395A" w:rsidRDefault="00762A06" w:rsidP="00E6395A">
      <w:pPr>
        <w:suppressAutoHyphens/>
        <w:rPr>
          <w:rFonts w:ascii="Times New Roman" w:hAnsi="Times New Roman"/>
          <w:iCs/>
          <w:spacing w:val="-2"/>
          <w:sz w:val="24"/>
        </w:rPr>
      </w:pPr>
      <w:r w:rsidRPr="00762A06">
        <w:rPr>
          <w:rFonts w:ascii="Times New Roman" w:hAnsi="Times New Roman"/>
          <w:iCs/>
          <w:spacing w:val="-2"/>
          <w:sz w:val="24"/>
        </w:rPr>
        <w:t>Ministry of Finance</w:t>
      </w:r>
      <w:r w:rsidR="00E6395A" w:rsidRPr="00E6395A">
        <w:rPr>
          <w:rFonts w:ascii="Times New Roman" w:hAnsi="Times New Roman"/>
          <w:iCs/>
          <w:spacing w:val="-2"/>
          <w:sz w:val="24"/>
        </w:rPr>
        <w:t>/Technical Service Unit</w:t>
      </w:r>
    </w:p>
    <w:p w14:paraId="391E9196" w14:textId="7EED10E6"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C44001">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FA37C52" w:rsidR="009830E4" w:rsidRPr="00762A06" w:rsidRDefault="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00D055C8" w:rsidRPr="00E27292">
          <w:rPr>
            <w:rStyle w:val="Hyperlink"/>
            <w:rFonts w:ascii="Times New Roman" w:hAnsi="Times New Roman"/>
            <w:iCs/>
            <w:spacing w:val="-2"/>
            <w:sz w:val="24"/>
          </w:rPr>
          <w:t>tsu@epa.org.me</w:t>
        </w:r>
      </w:hyperlink>
      <w:r w:rsidRPr="00E6395A">
        <w:rPr>
          <w:rFonts w:ascii="Times New Roman" w:hAnsi="Times New Roman"/>
          <w:iCs/>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FFA0" w14:textId="77777777" w:rsidR="0012681B" w:rsidRDefault="0012681B">
      <w:r>
        <w:separator/>
      </w:r>
    </w:p>
  </w:endnote>
  <w:endnote w:type="continuationSeparator" w:id="0">
    <w:p w14:paraId="25F570F7" w14:textId="77777777" w:rsidR="0012681B" w:rsidRDefault="0012681B">
      <w:r>
        <w:rPr>
          <w:sz w:val="24"/>
        </w:rPr>
        <w:t xml:space="preserve"> </w:t>
      </w:r>
    </w:p>
  </w:endnote>
  <w:endnote w:type="continuationNotice" w:id="1">
    <w:p w14:paraId="6F6565E8" w14:textId="77777777" w:rsidR="0012681B" w:rsidRDefault="001268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97467" w14:textId="77777777" w:rsidR="0012681B" w:rsidRDefault="0012681B">
      <w:r>
        <w:rPr>
          <w:sz w:val="24"/>
        </w:rPr>
        <w:separator/>
      </w:r>
    </w:p>
  </w:footnote>
  <w:footnote w:type="continuationSeparator" w:id="0">
    <w:p w14:paraId="38ADC092" w14:textId="77777777" w:rsidR="0012681B" w:rsidRDefault="0012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915794">
    <w:abstractNumId w:val="8"/>
  </w:num>
  <w:num w:numId="2" w16cid:durableId="83499515">
    <w:abstractNumId w:val="9"/>
  </w:num>
  <w:num w:numId="3" w16cid:durableId="323356067">
    <w:abstractNumId w:val="4"/>
  </w:num>
  <w:num w:numId="4" w16cid:durableId="580869733">
    <w:abstractNumId w:val="7"/>
  </w:num>
  <w:num w:numId="5" w16cid:durableId="1057819909">
    <w:abstractNumId w:val="3"/>
  </w:num>
  <w:num w:numId="6" w16cid:durableId="1634090931">
    <w:abstractNumId w:val="2"/>
  </w:num>
  <w:num w:numId="7" w16cid:durableId="407387195">
    <w:abstractNumId w:val="0"/>
  </w:num>
  <w:num w:numId="8" w16cid:durableId="1163352638">
    <w:abstractNumId w:val="1"/>
  </w:num>
  <w:num w:numId="9" w16cid:durableId="1068382895">
    <w:abstractNumId w:val="5"/>
  </w:num>
  <w:num w:numId="10" w16cid:durableId="286813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0906"/>
    <w:rsid w:val="000447BE"/>
    <w:rsid w:val="0007139E"/>
    <w:rsid w:val="000846C5"/>
    <w:rsid w:val="00095418"/>
    <w:rsid w:val="000A4184"/>
    <w:rsid w:val="000C0EC0"/>
    <w:rsid w:val="000C4041"/>
    <w:rsid w:val="000C6F6F"/>
    <w:rsid w:val="000D09E1"/>
    <w:rsid w:val="00117043"/>
    <w:rsid w:val="0012681B"/>
    <w:rsid w:val="00134CCE"/>
    <w:rsid w:val="00137802"/>
    <w:rsid w:val="00146D68"/>
    <w:rsid w:val="00185476"/>
    <w:rsid w:val="00196614"/>
    <w:rsid w:val="001A057E"/>
    <w:rsid w:val="001B0D84"/>
    <w:rsid w:val="001C3893"/>
    <w:rsid w:val="001C4752"/>
    <w:rsid w:val="001D70EB"/>
    <w:rsid w:val="002461A8"/>
    <w:rsid w:val="00254D3D"/>
    <w:rsid w:val="002727A9"/>
    <w:rsid w:val="00276E66"/>
    <w:rsid w:val="002A1472"/>
    <w:rsid w:val="002B2EC7"/>
    <w:rsid w:val="002C4377"/>
    <w:rsid w:val="002C7721"/>
    <w:rsid w:val="002F1452"/>
    <w:rsid w:val="00357959"/>
    <w:rsid w:val="00362602"/>
    <w:rsid w:val="00372355"/>
    <w:rsid w:val="00394CE1"/>
    <w:rsid w:val="003B0ADD"/>
    <w:rsid w:val="003C286B"/>
    <w:rsid w:val="003C5181"/>
    <w:rsid w:val="004011E2"/>
    <w:rsid w:val="004019F6"/>
    <w:rsid w:val="00435556"/>
    <w:rsid w:val="00436995"/>
    <w:rsid w:val="00447B7B"/>
    <w:rsid w:val="004A5E02"/>
    <w:rsid w:val="004C3F92"/>
    <w:rsid w:val="004E721D"/>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24FE1"/>
    <w:rsid w:val="00A36DC8"/>
    <w:rsid w:val="00A56872"/>
    <w:rsid w:val="00A90DFA"/>
    <w:rsid w:val="00AB71C1"/>
    <w:rsid w:val="00B12567"/>
    <w:rsid w:val="00B20153"/>
    <w:rsid w:val="00B3630A"/>
    <w:rsid w:val="00B82047"/>
    <w:rsid w:val="00BA4299"/>
    <w:rsid w:val="00BB1618"/>
    <w:rsid w:val="00BC1BB9"/>
    <w:rsid w:val="00BC1EBB"/>
    <w:rsid w:val="00BD14B2"/>
    <w:rsid w:val="00BD6CBC"/>
    <w:rsid w:val="00BE11E0"/>
    <w:rsid w:val="00C24DF1"/>
    <w:rsid w:val="00C30AB8"/>
    <w:rsid w:val="00C44001"/>
    <w:rsid w:val="00C523ED"/>
    <w:rsid w:val="00C55D76"/>
    <w:rsid w:val="00C70D43"/>
    <w:rsid w:val="00C8711C"/>
    <w:rsid w:val="00CC6F65"/>
    <w:rsid w:val="00CD158A"/>
    <w:rsid w:val="00D055C8"/>
    <w:rsid w:val="00D12616"/>
    <w:rsid w:val="00D149A4"/>
    <w:rsid w:val="00D243F2"/>
    <w:rsid w:val="00D24F28"/>
    <w:rsid w:val="00D35A53"/>
    <w:rsid w:val="00D51573"/>
    <w:rsid w:val="00D66483"/>
    <w:rsid w:val="00D8414F"/>
    <w:rsid w:val="00D84B6B"/>
    <w:rsid w:val="00DA15DD"/>
    <w:rsid w:val="00DB75A4"/>
    <w:rsid w:val="00DD7362"/>
    <w:rsid w:val="00DE6007"/>
    <w:rsid w:val="00DF4E70"/>
    <w:rsid w:val="00DF4F57"/>
    <w:rsid w:val="00E07E32"/>
    <w:rsid w:val="00E51B0D"/>
    <w:rsid w:val="00E6395A"/>
    <w:rsid w:val="00EA0731"/>
    <w:rsid w:val="00EB5460"/>
    <w:rsid w:val="00EC50B8"/>
    <w:rsid w:val="00ED7815"/>
    <w:rsid w:val="00EE0D0A"/>
    <w:rsid w:val="00F17486"/>
    <w:rsid w:val="00F461F4"/>
    <w:rsid w:val="00F63325"/>
    <w:rsid w:val="00F67564"/>
    <w:rsid w:val="00F833F7"/>
    <w:rsid w:val="00FA14DE"/>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 w:type="character" w:styleId="UnresolvedMention">
    <w:name w:val="Unresolved Mention"/>
    <w:basedOn w:val="DefaultParagraphFont"/>
    <w:uiPriority w:val="99"/>
    <w:semiHidden/>
    <w:unhideWhenUsed/>
    <w:rsid w:val="00D0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5544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39</cp:revision>
  <cp:lastPrinted>2020-06-12T08:22:00Z</cp:lastPrinted>
  <dcterms:created xsi:type="dcterms:W3CDTF">2018-10-23T14:49:00Z</dcterms:created>
  <dcterms:modified xsi:type="dcterms:W3CDTF">2023-02-20T12:36:00Z</dcterms:modified>
</cp:coreProperties>
</file>